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0E65" w14:textId="77777777" w:rsidR="006B6CB5" w:rsidRDefault="006B6CB5" w:rsidP="006B6CB5">
      <w:pPr>
        <w:widowControl w:val="0"/>
        <w:pBdr>
          <w:top w:val="nil"/>
          <w:left w:val="nil"/>
          <w:bottom w:val="nil"/>
          <w:right w:val="nil"/>
          <w:between w:val="nil"/>
        </w:pBdr>
        <w:spacing w:after="0"/>
      </w:pPr>
      <w:bookmarkStart w:id="0" w:name="_Hlk118115230"/>
    </w:p>
    <w:p w14:paraId="3BDF027F" w14:textId="2533705F" w:rsidR="006B6CB5" w:rsidRDefault="00A34985" w:rsidP="006B6CB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16AA9A7" wp14:editId="33FB4DE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6CB5">
        <w:rPr>
          <w:noProof/>
        </w:rPr>
        <w:drawing>
          <wp:anchor distT="0" distB="0" distL="114300" distR="114300" simplePos="0" relativeHeight="251659264" behindDoc="0" locked="0" layoutInCell="1" allowOverlap="1" wp14:anchorId="2A3258B1" wp14:editId="4B929E9A">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56F98C0" w14:textId="77777777" w:rsidR="006B6CB5" w:rsidRDefault="006B6CB5" w:rsidP="006B6CB5">
      <w:pPr>
        <w:spacing w:before="240"/>
        <w:jc w:val="center"/>
        <w:rPr>
          <w:b/>
          <w:caps/>
          <w:sz w:val="24"/>
          <w:szCs w:val="24"/>
        </w:rPr>
      </w:pPr>
    </w:p>
    <w:bookmarkEnd w:id="1"/>
    <w:p w14:paraId="5543FD0D" w14:textId="2E2C95B1" w:rsidR="006B6CB5" w:rsidRDefault="006B6CB5" w:rsidP="006B6CB5">
      <w:pPr>
        <w:spacing w:before="240"/>
        <w:ind w:left="0"/>
        <w:jc w:val="center"/>
        <w:rPr>
          <w:b/>
          <w:caps/>
          <w:sz w:val="24"/>
          <w:szCs w:val="24"/>
        </w:rPr>
      </w:pPr>
    </w:p>
    <w:p w14:paraId="2C4FCCF1" w14:textId="45E64687" w:rsidR="006B6CB5" w:rsidRPr="002D0ED3" w:rsidRDefault="006B6CB5" w:rsidP="006B6CB5">
      <w:pPr>
        <w:spacing w:before="240"/>
        <w:ind w:left="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0C75FEA3" w14:textId="77777777" w:rsidR="006B6CB5" w:rsidRPr="002D0ED3" w:rsidRDefault="006B6CB5" w:rsidP="006B6CB5">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5B678D3" w14:textId="77777777" w:rsidR="006B6CB5" w:rsidRPr="002D0ED3" w:rsidRDefault="006B6CB5" w:rsidP="006B6CB5">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44606AD" w14:textId="77777777" w:rsidR="006B6CB5" w:rsidRPr="00A33E00" w:rsidRDefault="006B6CB5" w:rsidP="006B6CB5">
      <w:pPr>
        <w:spacing w:before="240"/>
        <w:ind w:left="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D7AF462" w14:textId="77777777" w:rsidR="006B6CB5" w:rsidRPr="002D0ED3" w:rsidRDefault="006B6CB5" w:rsidP="006B6CB5">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20FE5621" w14:textId="4BCA8A7C" w:rsidR="006B6CB5" w:rsidRPr="002D0ED3" w:rsidRDefault="006B6CB5" w:rsidP="006B6CB5">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53410">
        <w:rPr>
          <w:rFonts w:asciiTheme="minorHAnsi" w:hAnsiTheme="minorHAnsi" w:cstheme="minorHAnsi"/>
          <w:b/>
          <w:caps/>
          <w:sz w:val="24"/>
          <w:szCs w:val="24"/>
        </w:rPr>
        <w:t>1</w:t>
      </w:r>
    </w:p>
    <w:bookmarkEnd w:id="0"/>
    <w:bookmarkEnd w:id="2"/>
    <w:p w14:paraId="331661F7" w14:textId="77777777" w:rsidR="006B6CB5" w:rsidRDefault="006B6CB5" w:rsidP="006B6CB5">
      <w:pPr>
        <w:overflowPunct/>
        <w:autoSpaceDE/>
        <w:autoSpaceDN/>
        <w:adjustRightInd/>
        <w:ind w:left="0"/>
        <w:textAlignment w:val="auto"/>
        <w:rPr>
          <w:b/>
          <w:color w:val="000000"/>
          <w:sz w:val="36"/>
          <w:szCs w:val="36"/>
        </w:rPr>
      </w:pPr>
    </w:p>
    <w:p w14:paraId="62B0768E" w14:textId="77777777" w:rsidR="006B6CB5" w:rsidRDefault="006B6CB5" w:rsidP="006B6CB5">
      <w:pPr>
        <w:overflowPunct/>
        <w:autoSpaceDE/>
        <w:autoSpaceDN/>
        <w:adjustRightInd/>
        <w:ind w:left="0"/>
        <w:textAlignment w:val="auto"/>
        <w:rPr>
          <w:b/>
          <w:color w:val="000000"/>
          <w:sz w:val="36"/>
          <w:szCs w:val="36"/>
        </w:rPr>
      </w:pPr>
    </w:p>
    <w:p w14:paraId="59BF9478" w14:textId="77777777" w:rsidR="006B6CB5" w:rsidRDefault="006B6CB5" w:rsidP="006B6CB5">
      <w:pPr>
        <w:overflowPunct/>
        <w:autoSpaceDE/>
        <w:autoSpaceDN/>
        <w:adjustRightInd/>
        <w:ind w:left="0"/>
        <w:textAlignment w:val="auto"/>
        <w:rPr>
          <w:b/>
          <w:color w:val="000000"/>
          <w:sz w:val="36"/>
          <w:szCs w:val="36"/>
        </w:rPr>
      </w:pPr>
    </w:p>
    <w:p w14:paraId="5E58B514" w14:textId="77777777" w:rsidR="006B6CB5" w:rsidRDefault="006B6CB5" w:rsidP="006B6CB5">
      <w:pPr>
        <w:overflowPunct/>
        <w:autoSpaceDE/>
        <w:autoSpaceDN/>
        <w:adjustRightInd/>
        <w:ind w:left="0"/>
        <w:textAlignment w:val="auto"/>
        <w:rPr>
          <w:b/>
          <w:color w:val="000000"/>
          <w:sz w:val="36"/>
          <w:szCs w:val="36"/>
        </w:rPr>
      </w:pPr>
    </w:p>
    <w:p w14:paraId="68DF31FE" w14:textId="77777777" w:rsidR="006B6CB5" w:rsidRDefault="006B6CB5" w:rsidP="006B6CB5">
      <w:pPr>
        <w:overflowPunct/>
        <w:autoSpaceDE/>
        <w:autoSpaceDN/>
        <w:adjustRightInd/>
        <w:ind w:left="0"/>
        <w:textAlignment w:val="auto"/>
        <w:rPr>
          <w:b/>
          <w:color w:val="000000"/>
          <w:sz w:val="36"/>
          <w:szCs w:val="36"/>
        </w:rPr>
      </w:pPr>
    </w:p>
    <w:p w14:paraId="3B90C45C" w14:textId="77777777" w:rsidR="006B6CB5" w:rsidRDefault="006B6CB5" w:rsidP="006B6CB5">
      <w:pPr>
        <w:overflowPunct/>
        <w:autoSpaceDE/>
        <w:autoSpaceDN/>
        <w:adjustRightInd/>
        <w:ind w:left="0"/>
        <w:textAlignment w:val="auto"/>
        <w:rPr>
          <w:b/>
          <w:color w:val="000000"/>
          <w:sz w:val="36"/>
          <w:szCs w:val="36"/>
        </w:rPr>
      </w:pPr>
    </w:p>
    <w:p w14:paraId="479F0AAB" w14:textId="77777777" w:rsidR="006B6CB5" w:rsidRDefault="006B6CB5" w:rsidP="006B6CB5">
      <w:pPr>
        <w:overflowPunct/>
        <w:autoSpaceDE/>
        <w:autoSpaceDN/>
        <w:adjustRightInd/>
        <w:ind w:left="0"/>
        <w:textAlignment w:val="auto"/>
        <w:rPr>
          <w:b/>
          <w:color w:val="000000"/>
          <w:sz w:val="36"/>
          <w:szCs w:val="36"/>
        </w:rPr>
      </w:pPr>
    </w:p>
    <w:p w14:paraId="4C342916" w14:textId="77777777" w:rsidR="006B6CB5" w:rsidRDefault="006B6CB5" w:rsidP="006B6CB5">
      <w:pPr>
        <w:overflowPunct/>
        <w:autoSpaceDE/>
        <w:autoSpaceDN/>
        <w:adjustRightInd/>
        <w:ind w:left="0"/>
        <w:textAlignment w:val="auto"/>
        <w:rPr>
          <w:b/>
          <w:color w:val="000000"/>
          <w:sz w:val="36"/>
          <w:szCs w:val="36"/>
        </w:rPr>
      </w:pPr>
    </w:p>
    <w:p w14:paraId="471FB841" w14:textId="77777777" w:rsidR="006B6CB5" w:rsidRDefault="006B6CB5" w:rsidP="006B6CB5">
      <w:pPr>
        <w:overflowPunct/>
        <w:autoSpaceDE/>
        <w:autoSpaceDN/>
        <w:adjustRightInd/>
        <w:ind w:left="0"/>
        <w:textAlignment w:val="auto"/>
        <w:rPr>
          <w:b/>
          <w:color w:val="000000"/>
          <w:sz w:val="36"/>
          <w:szCs w:val="36"/>
        </w:rPr>
      </w:pPr>
    </w:p>
    <w:p w14:paraId="561DD697" w14:textId="77777777" w:rsidR="006B6CB5" w:rsidRDefault="006B6CB5" w:rsidP="006B6CB5">
      <w:pPr>
        <w:overflowPunct/>
        <w:autoSpaceDE/>
        <w:autoSpaceDN/>
        <w:adjustRightInd/>
        <w:ind w:left="0"/>
        <w:textAlignment w:val="auto"/>
        <w:rPr>
          <w:b/>
          <w:color w:val="000000"/>
          <w:sz w:val="36"/>
          <w:szCs w:val="36"/>
        </w:rPr>
      </w:pPr>
    </w:p>
    <w:p w14:paraId="0A1BD022" w14:textId="77777777" w:rsidR="006B6CB5" w:rsidRDefault="006B6CB5" w:rsidP="006B6CB5">
      <w:pPr>
        <w:overflowPunct/>
        <w:autoSpaceDE/>
        <w:autoSpaceDN/>
        <w:adjustRightInd/>
        <w:ind w:left="0"/>
        <w:textAlignment w:val="auto"/>
        <w:rPr>
          <w:b/>
          <w:color w:val="000000"/>
          <w:sz w:val="36"/>
          <w:szCs w:val="36"/>
        </w:rPr>
      </w:pPr>
    </w:p>
    <w:p w14:paraId="3C3470CF" w14:textId="77777777" w:rsidR="006B6CB5" w:rsidRDefault="006B6CB5" w:rsidP="006B6CB5">
      <w:pPr>
        <w:overflowPunct/>
        <w:autoSpaceDE/>
        <w:autoSpaceDN/>
        <w:adjustRightInd/>
        <w:ind w:left="0"/>
        <w:textAlignment w:val="auto"/>
        <w:rPr>
          <w:b/>
          <w:color w:val="000000"/>
          <w:sz w:val="36"/>
          <w:szCs w:val="36"/>
        </w:rPr>
      </w:pPr>
    </w:p>
    <w:p w14:paraId="1CDB897F" w14:textId="77E7F12C" w:rsidR="00722D00" w:rsidRDefault="00722D00">
      <w:pPr>
        <w:overflowPunct/>
        <w:autoSpaceDE/>
        <w:autoSpaceDN/>
        <w:adjustRightInd/>
        <w:textAlignment w:val="auto"/>
        <w:rPr>
          <w:b/>
          <w:color w:val="000000"/>
          <w:sz w:val="36"/>
          <w:szCs w:val="36"/>
        </w:rPr>
      </w:pPr>
    </w:p>
    <w:p w14:paraId="00000002" w14:textId="40086370" w:rsidR="00F810E0" w:rsidRDefault="00B15219" w:rsidP="00A34985">
      <w:pPr>
        <w:overflowPunct/>
        <w:autoSpaceDE/>
        <w:autoSpaceDN/>
        <w:adjustRightInd/>
        <w:ind w:left="0"/>
        <w:jc w:val="left"/>
        <w:textAlignment w:val="auto"/>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3" w:name="_heading=h.gjdgxs" w:colFirst="0" w:colLast="0"/>
      <w:bookmarkEnd w:id="3"/>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243164">
            <w:pPr>
              <w:pBdr>
                <w:top w:val="nil"/>
                <w:left w:val="nil"/>
                <w:bottom w:val="nil"/>
                <w:right w:val="nil"/>
                <w:between w:val="nil"/>
              </w:pBdr>
              <w:spacing w:after="240"/>
              <w:ind w:left="0"/>
              <w:jc w:val="left"/>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lastRenderedPageBreak/>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xml:space="preserve">” shall be </w:t>
            </w:r>
            <w:proofErr w:type="gramStart"/>
            <w:r w:rsidRPr="0097484D">
              <w:rPr>
                <w:rFonts w:ascii="Arial" w:hAnsi="Arial" w:cs="Arial"/>
                <w:sz w:val="24"/>
                <w:szCs w:val="24"/>
              </w:rPr>
              <w:t>interpreted accordingly;</w:t>
            </w:r>
            <w:proofErr w:type="gramEnd"/>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the Supplier or a Parent Undertaking of the </w:t>
            </w:r>
            <w:proofErr w:type="gramStart"/>
            <w:r w:rsidRPr="00A203BD">
              <w:rPr>
                <w:rFonts w:ascii="Arial" w:eastAsia="Arial" w:hAnsi="Arial" w:cs="Arial"/>
                <w:color w:val="000000"/>
                <w:sz w:val="24"/>
                <w:szCs w:val="24"/>
              </w:rPr>
              <w:t>Supplier;</w:t>
            </w:r>
            <w:proofErr w:type="gramEnd"/>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w:t>
            </w:r>
            <w:proofErr w:type="gramStart"/>
            <w:r w:rsidRPr="00A203BD">
              <w:rPr>
                <w:rFonts w:ascii="Arial" w:eastAsia="Arial" w:hAnsi="Arial" w:cs="Arial"/>
                <w:color w:val="000000"/>
                <w:sz w:val="24"/>
                <w:szCs w:val="24"/>
              </w:rPr>
              <w:t>Deliverables;</w:t>
            </w:r>
            <w:proofErr w:type="gramEnd"/>
            <w:r w:rsidRPr="00A203BD">
              <w:rPr>
                <w:rFonts w:ascii="Arial" w:eastAsia="Arial" w:hAnsi="Arial" w:cs="Arial"/>
                <w:color w:val="000000"/>
                <w:sz w:val="24"/>
                <w:szCs w:val="24"/>
              </w:rPr>
              <w:t xml:space="preserve">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change to the business of the Supplier or any member of the Supplier Group which, in the reasonable opinion of the Buyer, could have a material adverse effect on the </w:t>
            </w:r>
            <w:proofErr w:type="gramStart"/>
            <w:r w:rsidRPr="0097484D">
              <w:rPr>
                <w:rFonts w:ascii="Arial" w:eastAsia="Arial" w:hAnsi="Arial" w:cs="Arial"/>
                <w:color w:val="000000"/>
                <w:sz w:val="24"/>
                <w:szCs w:val="24"/>
              </w:rPr>
              <w:t>Deliverables;</w:t>
            </w:r>
            <w:proofErr w:type="gramEnd"/>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 Class 1 Transaction taking place in relation to the shares of the Supplier or any Parent Undertaking of the Supplier whose shares are listed on the main market of the London Stock Exchange </w:t>
            </w:r>
            <w:proofErr w:type="gramStart"/>
            <w:r w:rsidRPr="0097484D">
              <w:rPr>
                <w:rFonts w:ascii="Arial" w:eastAsia="Arial" w:hAnsi="Arial" w:cs="Arial"/>
                <w:color w:val="000000"/>
                <w:sz w:val="24"/>
                <w:szCs w:val="24"/>
              </w:rPr>
              <w:t>plc;</w:t>
            </w:r>
            <w:proofErr w:type="gramEnd"/>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event that could reasonably be regarded as being equivalent to a Class 1 Transaction taking place in respect of the Supplier or any Parent Undertaking of the </w:t>
            </w:r>
            <w:proofErr w:type="gramStart"/>
            <w:r w:rsidRPr="0097484D">
              <w:rPr>
                <w:rFonts w:ascii="Arial" w:eastAsia="Arial" w:hAnsi="Arial" w:cs="Arial"/>
                <w:color w:val="000000"/>
                <w:sz w:val="24"/>
                <w:szCs w:val="24"/>
              </w:rPr>
              <w:t>Supplier;</w:t>
            </w:r>
            <w:proofErr w:type="gramEnd"/>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12 month </w:t>
            </w:r>
            <w:proofErr w:type="gramStart"/>
            <w:r w:rsidRPr="0097484D">
              <w:rPr>
                <w:rFonts w:ascii="Arial" w:eastAsia="Arial" w:hAnsi="Arial" w:cs="Arial"/>
                <w:color w:val="000000"/>
                <w:sz w:val="24"/>
                <w:szCs w:val="24"/>
              </w:rPr>
              <w:t>period;</w:t>
            </w:r>
            <w:proofErr w:type="gramEnd"/>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w:t>
            </w:r>
            <w:proofErr w:type="gramStart"/>
            <w:r w:rsidRPr="0097484D">
              <w:rPr>
                <w:rFonts w:ascii="Arial" w:eastAsia="Arial" w:hAnsi="Arial" w:cs="Arial"/>
                <w:color w:val="000000"/>
                <w:sz w:val="24"/>
                <w:szCs w:val="24"/>
              </w:rPr>
              <w:t>made</w:t>
            </w:r>
            <w:proofErr w:type="gramEnd"/>
            <w:r w:rsidRPr="0097484D">
              <w:rPr>
                <w:rFonts w:ascii="Arial" w:eastAsia="Arial" w:hAnsi="Arial" w:cs="Arial"/>
                <w:color w:val="000000"/>
                <w:sz w:val="24"/>
                <w:szCs w:val="24"/>
              </w:rPr>
              <w:t xml:space="preserv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lastRenderedPageBreak/>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97484D">
              <w:rPr>
                <w:rFonts w:ascii="Arial" w:eastAsia="Arial" w:hAnsi="Arial" w:cs="Arial"/>
                <w:color w:val="000000"/>
                <w:sz w:val="24"/>
                <w:szCs w:val="24"/>
              </w:rPr>
              <w:t>Group;</w:t>
            </w:r>
            <w:proofErr w:type="gramEnd"/>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the appointment of a receiver, administrative </w:t>
            </w:r>
            <w:proofErr w:type="gramStart"/>
            <w:r w:rsidRPr="0097484D">
              <w:rPr>
                <w:rFonts w:ascii="Arial" w:eastAsia="Arial" w:hAnsi="Arial" w:cs="Arial"/>
                <w:color w:val="000000"/>
                <w:sz w:val="24"/>
                <w:szCs w:val="24"/>
              </w:rPr>
              <w:t>receiver</w:t>
            </w:r>
            <w:proofErr w:type="gramEnd"/>
            <w:r w:rsidRPr="0097484D">
              <w:rPr>
                <w:rFonts w:ascii="Arial" w:eastAsia="Arial" w:hAnsi="Arial" w:cs="Arial"/>
                <w:color w:val="000000"/>
                <w:sz w:val="24"/>
                <w:szCs w:val="24"/>
              </w:rPr>
              <w:t xml:space="preserve">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 xml:space="preserve">major detrimental impact on the availability, </w:t>
            </w:r>
            <w:proofErr w:type="gramStart"/>
            <w:r w:rsidRPr="0097484D">
              <w:rPr>
                <w:rFonts w:ascii="Arial" w:eastAsia="Arial" w:hAnsi="Arial" w:cs="Arial"/>
                <w:color w:val="000000"/>
                <w:sz w:val="24"/>
                <w:szCs w:val="24"/>
              </w:rPr>
              <w:t>integrity</w:t>
            </w:r>
            <w:proofErr w:type="gramEnd"/>
            <w:r w:rsidRPr="0097484D">
              <w:rPr>
                <w:rFonts w:ascii="Arial" w:eastAsia="Arial" w:hAnsi="Arial" w:cs="Arial"/>
                <w:color w:val="000000"/>
                <w:sz w:val="24"/>
                <w:szCs w:val="24"/>
              </w:rPr>
              <w:t xml:space="preserve">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using the Cabinet Office Contract Tiering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lastRenderedPageBreak/>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lastRenderedPageBreak/>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w:t>
            </w:r>
          </w:p>
        </w:tc>
        <w:tc>
          <w:tcPr>
            <w:tcW w:w="5075" w:type="dxa"/>
          </w:tcPr>
          <w:p w14:paraId="0000000A"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bookmarkStart w:id="4" w:name="_heading=h.30j0zll" w:colFirst="0" w:colLast="0"/>
            <w:bookmarkEnd w:id="4"/>
            <w:r w:rsidRPr="00243164">
              <w:rPr>
                <w:rFonts w:ascii="Arial" w:hAnsi="Arial" w:cs="Arial"/>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Deliverables"</w:t>
            </w:r>
          </w:p>
        </w:tc>
        <w:tc>
          <w:tcPr>
            <w:tcW w:w="5075" w:type="dxa"/>
          </w:tcPr>
          <w:p w14:paraId="0000000C" w14:textId="77777777" w:rsidR="0083014E" w:rsidRPr="00243164" w:rsidRDefault="0083014E" w:rsidP="0083014E">
            <w:pPr>
              <w:pBdr>
                <w:top w:val="nil"/>
                <w:left w:val="nil"/>
                <w:bottom w:val="nil"/>
                <w:right w:val="nil"/>
                <w:between w:val="nil"/>
              </w:pBdr>
              <w:tabs>
                <w:tab w:val="left" w:pos="-9"/>
                <w:tab w:val="left" w:pos="-179"/>
              </w:tabs>
              <w:spacing w:after="120"/>
              <w:ind w:left="0"/>
              <w:jc w:val="left"/>
              <w:rPr>
                <w:rFonts w:ascii="Arial" w:hAnsi="Arial" w:cs="Arial"/>
                <w:color w:val="000000"/>
                <w:sz w:val="24"/>
              </w:rPr>
            </w:pPr>
            <w:r w:rsidRPr="00243164">
              <w:rPr>
                <w:rFonts w:ascii="Arial" w:hAnsi="Arial" w:cs="Arial"/>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Plan"</w:t>
            </w:r>
          </w:p>
        </w:tc>
        <w:tc>
          <w:tcPr>
            <w:tcW w:w="5075" w:type="dxa"/>
          </w:tcPr>
          <w:p w14:paraId="0000000E"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System"</w:t>
            </w:r>
          </w:p>
        </w:tc>
        <w:tc>
          <w:tcPr>
            <w:tcW w:w="5075" w:type="dxa"/>
          </w:tcPr>
          <w:p w14:paraId="00000010" w14:textId="57E25881"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C779BC"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lastRenderedPageBreak/>
              <w:t>"Related Supplier"</w:t>
            </w:r>
          </w:p>
        </w:tc>
        <w:tc>
          <w:tcPr>
            <w:tcW w:w="5075" w:type="dxa"/>
          </w:tcPr>
          <w:p w14:paraId="00000012"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"Review Report"</w:t>
            </w:r>
          </w:p>
        </w:tc>
        <w:tc>
          <w:tcPr>
            <w:tcW w:w="5075" w:type="dxa"/>
          </w:tcPr>
          <w:p w14:paraId="00000014" w14:textId="0EAEE91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647DD" w:rsidRDefault="00576F50"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“Strategic Supplier”</w:t>
            </w:r>
          </w:p>
        </w:tc>
        <w:tc>
          <w:tcPr>
            <w:tcW w:w="5075" w:type="dxa"/>
          </w:tcPr>
          <w:p w14:paraId="38B5F293" w14:textId="77777777" w:rsidR="00576F50" w:rsidRPr="009647DD" w:rsidRDefault="00576F50" w:rsidP="00576F50">
            <w:pPr>
              <w:overflowPunct/>
              <w:ind w:left="0"/>
              <w:jc w:val="left"/>
              <w:textAlignment w:val="auto"/>
              <w:rPr>
                <w:rFonts w:ascii="Arial" w:eastAsia="Arial" w:hAnsi="Arial" w:cs="Arial"/>
                <w:sz w:val="24"/>
                <w:szCs w:val="24"/>
              </w:rPr>
            </w:pPr>
            <w:r w:rsidRPr="009647DD">
              <w:rPr>
                <w:rFonts w:ascii="Arial" w:eastAsia="Arial" w:hAnsi="Arial" w:cs="Arial"/>
                <w:sz w:val="24"/>
                <w:szCs w:val="24"/>
              </w:rPr>
              <w:t>means those suppliers to government listed at</w:t>
            </w:r>
          </w:p>
          <w:p w14:paraId="5B4BAAC5" w14:textId="67F57BE1" w:rsidR="00576F50" w:rsidRPr="009647DD" w:rsidRDefault="00576F50" w:rsidP="00576F50">
            <w:pPr>
              <w:overflowPunct/>
              <w:ind w:left="0"/>
              <w:jc w:val="left"/>
              <w:textAlignment w:val="auto"/>
              <w:rPr>
                <w:rFonts w:ascii="Arial" w:hAnsi="Arial" w:cs="Arial"/>
                <w:color w:val="000000"/>
                <w:sz w:val="24"/>
              </w:rPr>
            </w:pPr>
            <w:r w:rsidRPr="009647DD">
              <w:rPr>
                <w:rFonts w:ascii="Arial" w:eastAsia="Arial" w:hAnsi="Arial" w:cs="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"Supplier's Proposals"</w:t>
            </w:r>
          </w:p>
        </w:tc>
        <w:tc>
          <w:tcPr>
            <w:tcW w:w="5075" w:type="dxa"/>
          </w:tcPr>
          <w:p w14:paraId="00000016"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5" w:name="_heading=h.1fob9te" w:colFirst="0" w:colLast="0"/>
      <w:bookmarkEnd w:id="5"/>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3znysh7" w:colFirst="0" w:colLast="0"/>
      <w:bookmarkStart w:id="7" w:name="_Ref69119429"/>
      <w:bookmarkEnd w:id="6"/>
      <w:r>
        <w:rPr>
          <w:color w:val="000000"/>
          <w:sz w:val="24"/>
          <w:szCs w:val="24"/>
        </w:rPr>
        <w:t xml:space="preserve">Section 1 which shall set out general principles applicable to the BCDR </w:t>
      </w:r>
      <w:proofErr w:type="gramStart"/>
      <w:r>
        <w:rPr>
          <w:color w:val="000000"/>
          <w:sz w:val="24"/>
          <w:szCs w:val="24"/>
        </w:rPr>
        <w:t>Plan;</w:t>
      </w:r>
      <w:bookmarkEnd w:id="7"/>
      <w:proofErr w:type="gramEnd"/>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2et92p0" w:colFirst="0" w:colLast="0"/>
      <w:bookmarkEnd w:id="8"/>
      <w:r>
        <w:rPr>
          <w:color w:val="000000"/>
          <w:sz w:val="24"/>
          <w:szCs w:val="24"/>
        </w:rPr>
        <w:t xml:space="preserve">Section 2 which shall relate to business continuity (the </w:t>
      </w:r>
      <w:r>
        <w:rPr>
          <w:b/>
          <w:color w:val="000000"/>
          <w:sz w:val="24"/>
          <w:szCs w:val="24"/>
        </w:rPr>
        <w:t>"Business Continuity Plan"</w:t>
      </w:r>
      <w:proofErr w:type="gramStart"/>
      <w:r w:rsidR="00867708">
        <w:rPr>
          <w:color w:val="000000"/>
          <w:sz w:val="24"/>
          <w:szCs w:val="24"/>
        </w:rPr>
        <w:t>);</w:t>
      </w:r>
      <w:proofErr w:type="gramEnd"/>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tyjcwt" w:colFirst="0" w:colLast="0"/>
      <w:bookmarkStart w:id="10" w:name="_Ref69119439"/>
      <w:bookmarkEnd w:id="9"/>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10"/>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1" w:name="_heading=h.3dy6vkm" w:colFirst="0" w:colLast="0"/>
      <w:bookmarkEnd w:id="11"/>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12" w:name="_heading=h.1t3h5sf" w:colFirst="0" w:colLast="0"/>
      <w:bookmarkEnd w:id="12"/>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3" w:name="_Ref69116108"/>
      <w:r>
        <w:rPr>
          <w:color w:val="000000"/>
          <w:sz w:val="24"/>
          <w:szCs w:val="24"/>
        </w:rPr>
        <w:t>Section 1 of the BCDR Plan shall:</w:t>
      </w:r>
      <w:bookmarkEnd w:id="13"/>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1ci93xb" w:colFirst="0" w:colLast="0"/>
      <w:bookmarkEnd w:id="14"/>
      <w:r>
        <w:rPr>
          <w:color w:val="000000"/>
          <w:sz w:val="24"/>
          <w:szCs w:val="24"/>
        </w:rPr>
        <w:t xml:space="preserve">set out how the business continuity and disaster recovery elements of the BCDR Plan link to </w:t>
      </w:r>
      <w:proofErr w:type="gramStart"/>
      <w:r>
        <w:rPr>
          <w:color w:val="000000"/>
          <w:sz w:val="24"/>
          <w:szCs w:val="24"/>
        </w:rPr>
        <w:t>each other;</w:t>
      </w:r>
      <w:proofErr w:type="gramEnd"/>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color w:val="000000"/>
          <w:sz w:val="24"/>
          <w:szCs w:val="24"/>
        </w:rPr>
        <w:t>Supplier;</w:t>
      </w:r>
      <w:proofErr w:type="gramEnd"/>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an obligation upon the Supplier to liaise with the Buyer and any Related Suppliers with respect to business continuity and disaster </w:t>
      </w:r>
      <w:proofErr w:type="gramStart"/>
      <w:r>
        <w:rPr>
          <w:color w:val="000000"/>
          <w:sz w:val="24"/>
          <w:szCs w:val="24"/>
        </w:rPr>
        <w:t>recovery;</w:t>
      </w:r>
      <w:proofErr w:type="gramEnd"/>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color w:val="000000"/>
          <w:sz w:val="24"/>
          <w:szCs w:val="24"/>
        </w:rPr>
        <w:t>time;</w:t>
      </w:r>
      <w:proofErr w:type="gramEnd"/>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 communication strategy including details of an incident and problem management service and advice and help desk facility which can be accessed via multiple </w:t>
      </w:r>
      <w:proofErr w:type="gramStart"/>
      <w:r>
        <w:rPr>
          <w:color w:val="000000"/>
          <w:sz w:val="24"/>
          <w:szCs w:val="24"/>
        </w:rPr>
        <w:t>channels;</w:t>
      </w:r>
      <w:proofErr w:type="gramEnd"/>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failure or disruption scenarios and assessments of likely frequency of </w:t>
      </w:r>
      <w:proofErr w:type="gramStart"/>
      <w:r>
        <w:rPr>
          <w:color w:val="000000"/>
          <w:sz w:val="24"/>
          <w:szCs w:val="24"/>
        </w:rPr>
        <w:t>occurrence;</w:t>
      </w:r>
      <w:proofErr w:type="gramEnd"/>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identification of any single points of failure within the provision of Deliverables and processes for managing those </w:t>
      </w:r>
      <w:proofErr w:type="gramStart"/>
      <w:r>
        <w:rPr>
          <w:color w:val="000000"/>
          <w:sz w:val="24"/>
          <w:szCs w:val="24"/>
        </w:rPr>
        <w:t>risks;</w:t>
      </w:r>
      <w:proofErr w:type="gramEnd"/>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 business impact analysis of different anticipated failures or </w:t>
      </w:r>
      <w:proofErr w:type="gramStart"/>
      <w:r>
        <w:rPr>
          <w:color w:val="000000"/>
          <w:sz w:val="24"/>
          <w:szCs w:val="24"/>
        </w:rPr>
        <w:t>disruptions;</w:t>
      </w:r>
      <w:proofErr w:type="gramEnd"/>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provide for documentation of processes, including business processes, and </w:t>
      </w:r>
      <w:proofErr w:type="gramStart"/>
      <w:r>
        <w:rPr>
          <w:color w:val="000000"/>
          <w:sz w:val="24"/>
          <w:szCs w:val="24"/>
        </w:rPr>
        <w:t>procedures;</w:t>
      </w:r>
      <w:proofErr w:type="gramEnd"/>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set out key contact details for the Supplier (and any Subcontractors) and for the </w:t>
      </w:r>
      <w:proofErr w:type="gramStart"/>
      <w:r>
        <w:rPr>
          <w:color w:val="000000"/>
          <w:sz w:val="24"/>
          <w:szCs w:val="24"/>
        </w:rPr>
        <w:t>Buyer;</w:t>
      </w:r>
      <w:proofErr w:type="gramEnd"/>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roofErr w:type="gramStart"/>
      <w:r>
        <w:rPr>
          <w:color w:val="000000"/>
          <w:sz w:val="24"/>
          <w:szCs w:val="24"/>
        </w:rPr>
        <w:t>";</w:t>
      </w:r>
      <w:proofErr w:type="gramEnd"/>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set out method(s) of recovering or updating data collected (or which ought to have been collected) during a failure or disruption to minimise data </w:t>
      </w:r>
      <w:proofErr w:type="gramStart"/>
      <w:r>
        <w:rPr>
          <w:color w:val="000000"/>
          <w:sz w:val="24"/>
          <w:szCs w:val="24"/>
        </w:rPr>
        <w:t>loss;</w:t>
      </w:r>
      <w:proofErr w:type="gramEnd"/>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 xml:space="preserve">invocation of the BCDR </w:t>
      </w:r>
      <w:proofErr w:type="gramStart"/>
      <w:r w:rsidR="007578DD">
        <w:rPr>
          <w:color w:val="000000"/>
          <w:sz w:val="24"/>
          <w:szCs w:val="24"/>
        </w:rPr>
        <w:t>Plan;</w:t>
      </w:r>
      <w:proofErr w:type="gramEnd"/>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 xml:space="preserve">yer’s business continuity </w:t>
      </w:r>
      <w:proofErr w:type="gramStart"/>
      <w:r w:rsidR="007578DD">
        <w:rPr>
          <w:color w:val="000000"/>
          <w:sz w:val="24"/>
          <w:szCs w:val="24"/>
        </w:rPr>
        <w:t>plans;</w:t>
      </w:r>
      <w:proofErr w:type="gramEnd"/>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Ref69119468"/>
      <w:r w:rsidRPr="007578DD">
        <w:rPr>
          <w:color w:val="000000"/>
          <w:sz w:val="24"/>
          <w:szCs w:val="24"/>
        </w:rPr>
        <w:t xml:space="preserve">set out how the business continuity and disaster recovery elements of the BCDR Plan link to the Insolvency Continuity Plan, and how the Insolvency Continuity Plan links to the business continuity and disaster recovery elements of the BCDR </w:t>
      </w:r>
      <w:proofErr w:type="gramStart"/>
      <w:r w:rsidRPr="007578DD">
        <w:rPr>
          <w:color w:val="000000"/>
          <w:sz w:val="24"/>
          <w:szCs w:val="24"/>
        </w:rPr>
        <w:t>Plan;</w:t>
      </w:r>
      <w:bookmarkEnd w:id="15"/>
      <w:proofErr w:type="gramEnd"/>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w:t>
      </w:r>
      <w:r w:rsidRPr="007578DD">
        <w:rPr>
          <w:color w:val="000000"/>
          <w:sz w:val="24"/>
          <w:szCs w:val="24"/>
        </w:rPr>
        <w:lastRenderedPageBreak/>
        <w:t xml:space="preserve">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6"/>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Plan shall be designed </w:t>
      </w:r>
      <w:proofErr w:type="gramStart"/>
      <w:r>
        <w:rPr>
          <w:color w:val="000000"/>
          <w:sz w:val="24"/>
          <w:szCs w:val="24"/>
        </w:rPr>
        <w:t>so as to</w:t>
      </w:r>
      <w:proofErr w:type="gramEnd"/>
      <w:r>
        <w:rPr>
          <w:color w:val="000000"/>
          <w:sz w:val="24"/>
          <w:szCs w:val="24"/>
        </w:rPr>
        <w:t xml:space="preserve">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Deliverables are provided in accordance with this Contract at all times during and after the invocation of the BCDR </w:t>
      </w:r>
      <w:proofErr w:type="gramStart"/>
      <w:r>
        <w:rPr>
          <w:color w:val="000000"/>
          <w:sz w:val="24"/>
          <w:szCs w:val="24"/>
        </w:rPr>
        <w:t>Plan;</w:t>
      </w:r>
      <w:proofErr w:type="gramEnd"/>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w:t>
      </w:r>
      <w:proofErr w:type="gramStart"/>
      <w:r>
        <w:rPr>
          <w:color w:val="000000"/>
          <w:sz w:val="24"/>
          <w:szCs w:val="24"/>
        </w:rPr>
        <w:t>possible;</w:t>
      </w:r>
      <w:proofErr w:type="gramEnd"/>
      <w:r>
        <w:rPr>
          <w:color w:val="000000"/>
          <w:sz w:val="24"/>
          <w:szCs w:val="24"/>
        </w:rPr>
        <w:t xml:space="preserv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Performance Indicators (PI’s) or Service levels, or to any increase in the Charges to the extent that a Disaster occurs </w:t>
      </w:r>
      <w:proofErr w:type="gramStart"/>
      <w:r>
        <w:rPr>
          <w:color w:val="000000"/>
          <w:sz w:val="24"/>
          <w:szCs w:val="24"/>
        </w:rPr>
        <w:t>as a consequence of</w:t>
      </w:r>
      <w:proofErr w:type="gramEnd"/>
      <w:r>
        <w:rPr>
          <w:color w:val="000000"/>
          <w:sz w:val="24"/>
          <w:szCs w:val="24"/>
        </w:rPr>
        <w:t xml:space="preserve">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7" w:name="_heading=h.4d34og8" w:colFirst="0" w:colLast="0"/>
      <w:bookmarkEnd w:id="17"/>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steps to be taken by the Supplier upon resumption of the provision of Deliverables </w:t>
      </w:r>
      <w:proofErr w:type="gramStart"/>
      <w:r>
        <w:rPr>
          <w:color w:val="000000"/>
          <w:sz w:val="24"/>
          <w:szCs w:val="24"/>
        </w:rPr>
        <w:t>in order to</w:t>
      </w:r>
      <w:proofErr w:type="gramEnd"/>
      <w:r>
        <w:rPr>
          <w:color w:val="000000"/>
          <w:sz w:val="24"/>
          <w:szCs w:val="24"/>
        </w:rPr>
        <w:t xml:space="preserve">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address the various possible levels of failures of or disruptions to the provision of </w:t>
      </w:r>
      <w:proofErr w:type="gramStart"/>
      <w:r>
        <w:rPr>
          <w:color w:val="000000"/>
          <w:sz w:val="24"/>
          <w:szCs w:val="24"/>
        </w:rPr>
        <w:t>Deliverables;</w:t>
      </w:r>
      <w:proofErr w:type="gramEnd"/>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2s8eyo1" w:colFirst="0" w:colLast="0"/>
      <w:bookmarkEnd w:id="18"/>
      <w:r>
        <w:rPr>
          <w:color w:val="000000"/>
          <w:sz w:val="24"/>
          <w:szCs w:val="24"/>
        </w:rPr>
        <w:t xml:space="preserve">set out the goods and/or services to be provided and the steps to be taken to remedy the different levels of failures of and disruption to the </w:t>
      </w:r>
      <w:proofErr w:type="gramStart"/>
      <w:r>
        <w:rPr>
          <w:color w:val="000000"/>
          <w:sz w:val="24"/>
          <w:szCs w:val="24"/>
        </w:rPr>
        <w:t>Deliverables;</w:t>
      </w:r>
      <w:proofErr w:type="gramEnd"/>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9" w:name="_heading=h.17dp8vu" w:colFirst="0" w:colLast="0"/>
      <w:bookmarkEnd w:id="19"/>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loss of access to the Buyer </w:t>
      </w:r>
      <w:proofErr w:type="gramStart"/>
      <w:r>
        <w:rPr>
          <w:color w:val="000000"/>
          <w:sz w:val="24"/>
          <w:szCs w:val="24"/>
        </w:rPr>
        <w:t>Premises;</w:t>
      </w:r>
      <w:proofErr w:type="gramEnd"/>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loss of utilities to the Buyer </w:t>
      </w:r>
      <w:proofErr w:type="gramStart"/>
      <w:r>
        <w:rPr>
          <w:color w:val="000000"/>
          <w:sz w:val="24"/>
          <w:szCs w:val="24"/>
        </w:rPr>
        <w:t>Premises;</w:t>
      </w:r>
      <w:proofErr w:type="gramEnd"/>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loss of the Supplier's helpdesk or CAFM </w:t>
      </w:r>
      <w:proofErr w:type="gramStart"/>
      <w:r>
        <w:rPr>
          <w:color w:val="000000"/>
          <w:sz w:val="24"/>
          <w:szCs w:val="24"/>
        </w:rPr>
        <w:t>system;</w:t>
      </w:r>
      <w:proofErr w:type="gramEnd"/>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loss of a </w:t>
      </w:r>
      <w:proofErr w:type="gramStart"/>
      <w:r>
        <w:rPr>
          <w:color w:val="000000"/>
          <w:sz w:val="24"/>
          <w:szCs w:val="24"/>
        </w:rPr>
        <w:t>Subcontractor;</w:t>
      </w:r>
      <w:proofErr w:type="gramEnd"/>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emergency notification and escalation </w:t>
      </w:r>
      <w:proofErr w:type="gramStart"/>
      <w:r>
        <w:rPr>
          <w:color w:val="000000"/>
          <w:sz w:val="24"/>
          <w:szCs w:val="24"/>
        </w:rPr>
        <w:t>process;</w:t>
      </w:r>
      <w:proofErr w:type="gramEnd"/>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contact </w:t>
      </w:r>
      <w:proofErr w:type="gramStart"/>
      <w:r>
        <w:rPr>
          <w:color w:val="000000"/>
          <w:sz w:val="24"/>
          <w:szCs w:val="24"/>
        </w:rPr>
        <w:t>lists;</w:t>
      </w:r>
      <w:proofErr w:type="gramEnd"/>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staff training and </w:t>
      </w:r>
      <w:proofErr w:type="gramStart"/>
      <w:r>
        <w:rPr>
          <w:color w:val="000000"/>
          <w:sz w:val="24"/>
          <w:szCs w:val="24"/>
        </w:rPr>
        <w:t>awareness;</w:t>
      </w:r>
      <w:proofErr w:type="gramEnd"/>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w:t>
      </w:r>
      <w:proofErr w:type="gramStart"/>
      <w:r>
        <w:rPr>
          <w:color w:val="000000"/>
          <w:sz w:val="24"/>
          <w:szCs w:val="24"/>
        </w:rPr>
        <w:t>testing;</w:t>
      </w:r>
      <w:proofErr w:type="gramEnd"/>
      <w:r>
        <w:rPr>
          <w:color w:val="000000"/>
          <w:sz w:val="24"/>
          <w:szCs w:val="24"/>
        </w:rPr>
        <w:t xml:space="preserve">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w:t>
      </w:r>
      <w:proofErr w:type="gramStart"/>
      <w:r>
        <w:rPr>
          <w:color w:val="000000"/>
          <w:sz w:val="24"/>
          <w:szCs w:val="24"/>
        </w:rPr>
        <w:t>process;</w:t>
      </w:r>
      <w:proofErr w:type="gramEnd"/>
      <w:r>
        <w:rPr>
          <w:color w:val="000000"/>
          <w:sz w:val="24"/>
          <w:szCs w:val="24"/>
        </w:rPr>
        <w:t xml:space="preserve">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w:t>
      </w:r>
      <w:proofErr w:type="gramStart"/>
      <w:r>
        <w:rPr>
          <w:color w:val="000000"/>
          <w:sz w:val="24"/>
          <w:szCs w:val="24"/>
        </w:rPr>
        <w:t>Plan;</w:t>
      </w:r>
      <w:proofErr w:type="gramEnd"/>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color w:val="000000"/>
          <w:sz w:val="24"/>
          <w:szCs w:val="24"/>
        </w:rPr>
        <w:t>invoked;</w:t>
      </w:r>
      <w:proofErr w:type="gramEnd"/>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0"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20"/>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t>
      </w:r>
      <w:proofErr w:type="gramStart"/>
      <w:r>
        <w:rPr>
          <w:rFonts w:eastAsia="Arial"/>
          <w:color w:val="000000"/>
          <w:sz w:val="24"/>
          <w:szCs w:val="24"/>
        </w:rPr>
        <w:t>with,</w:t>
      </w:r>
      <w:proofErr w:type="gramEnd"/>
      <w:r>
        <w:rPr>
          <w:rFonts w:eastAsia="Arial"/>
          <w:color w:val="000000"/>
          <w:sz w:val="24"/>
          <w:szCs w:val="24"/>
        </w:rPr>
        <w:t xml:space="preserve">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w:t>
      </w:r>
      <w:proofErr w:type="gramStart"/>
      <w:r>
        <w:rPr>
          <w:rFonts w:eastAsia="Arial"/>
          <w:color w:val="000000"/>
          <w:sz w:val="24"/>
          <w:szCs w:val="24"/>
        </w:rPr>
        <w:t>personnel;</w:t>
      </w:r>
      <w:proofErr w:type="gramEnd"/>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w:t>
      </w:r>
      <w:proofErr w:type="gramStart"/>
      <w:r>
        <w:rPr>
          <w:rFonts w:eastAsia="Arial"/>
          <w:color w:val="000000"/>
          <w:sz w:val="24"/>
          <w:szCs w:val="24"/>
        </w:rPr>
        <w:t>Deliverables;</w:t>
      </w:r>
      <w:proofErr w:type="gramEnd"/>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plans to manage and mitigate identified </w:t>
      </w:r>
      <w:proofErr w:type="gramStart"/>
      <w:r>
        <w:rPr>
          <w:rFonts w:eastAsia="Arial"/>
          <w:color w:val="000000"/>
          <w:sz w:val="24"/>
          <w:szCs w:val="24"/>
        </w:rPr>
        <w:t>risks;</w:t>
      </w:r>
      <w:proofErr w:type="gramEnd"/>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details of the roles and responsibilities of the Supplier, Key Subcontractors and/or Supplier Group members to minimise and mitigate the effects of an Insolvency Event of such persons on the </w:t>
      </w:r>
      <w:proofErr w:type="gramStart"/>
      <w:r>
        <w:rPr>
          <w:rFonts w:eastAsia="Arial"/>
          <w:color w:val="000000"/>
          <w:sz w:val="24"/>
          <w:szCs w:val="24"/>
        </w:rPr>
        <w:t>Deliverables;</w:t>
      </w:r>
      <w:proofErr w:type="gramEnd"/>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1" w:name="_heading=h.3rdcrjn" w:colFirst="0" w:colLast="0"/>
      <w:bookmarkEnd w:id="21"/>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26in1rg" w:colFirst="0" w:colLast="0"/>
      <w:bookmarkEnd w:id="22"/>
      <w:r>
        <w:rPr>
          <w:color w:val="000000"/>
          <w:sz w:val="24"/>
          <w:szCs w:val="24"/>
        </w:rPr>
        <w:t>on a regular basis and as a minimum once every six (6) </w:t>
      </w:r>
      <w:proofErr w:type="gramStart"/>
      <w:r>
        <w:rPr>
          <w:color w:val="000000"/>
          <w:sz w:val="24"/>
          <w:szCs w:val="24"/>
        </w:rPr>
        <w:t>Months;</w:t>
      </w:r>
      <w:proofErr w:type="gramEnd"/>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lnxbz9" w:colFirst="0" w:colLast="0"/>
      <w:bookmarkEnd w:id="23"/>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35nkun2" w:colFirst="0" w:colLast="0"/>
      <w:bookmarkEnd w:id="24"/>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5" w:name="_heading=h.1ksv4uv" w:colFirst="0" w:colLast="0"/>
      <w:bookmarkEnd w:id="25"/>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w:t>
      </w:r>
      <w:r>
        <w:rPr>
          <w:color w:val="000000"/>
          <w:sz w:val="24"/>
          <w:szCs w:val="24"/>
        </w:rPr>
        <w:lastRenderedPageBreak/>
        <w:t xml:space="preserve">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6" w:name="_heading=h.44sinio" w:colFirst="0" w:colLast="0"/>
      <w:bookmarkEnd w:id="26"/>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7" w:name="_heading=h.2jxsxqh" w:colFirst="0" w:colLast="0"/>
      <w:bookmarkEnd w:id="27"/>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8" w:name="_heading=h.z337ya" w:colFirst="0" w:colLast="0"/>
      <w:bookmarkEnd w:id="28"/>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9" w:name="_heading=h.3j2qqm3" w:colFirst="0" w:colLast="0"/>
      <w:bookmarkEnd w:id="29"/>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regularly and in any event not less than once in every Contract </w:t>
      </w:r>
      <w:proofErr w:type="gramStart"/>
      <w:r>
        <w:rPr>
          <w:color w:val="000000"/>
          <w:sz w:val="24"/>
          <w:szCs w:val="24"/>
        </w:rPr>
        <w:t>Year;</w:t>
      </w:r>
      <w:proofErr w:type="gramEnd"/>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30" w:name="_heading=h.1y810tw" w:colFirst="0" w:colLast="0"/>
      <w:bookmarkEnd w:id="30"/>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color w:val="000000"/>
          <w:sz w:val="24"/>
          <w:szCs w:val="24"/>
        </w:rPr>
        <w:t>so</w:t>
      </w:r>
      <w:proofErr w:type="gramEnd"/>
      <w:r>
        <w:rPr>
          <w:color w:val="000000"/>
          <w:sz w:val="24"/>
          <w:szCs w:val="24"/>
        </w:rPr>
        <w:t xml:space="preserve">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outcome of the </w:t>
      </w:r>
      <w:proofErr w:type="gramStart"/>
      <w:r>
        <w:rPr>
          <w:color w:val="000000"/>
          <w:sz w:val="24"/>
          <w:szCs w:val="24"/>
        </w:rPr>
        <w:t>test;</w:t>
      </w:r>
      <w:proofErr w:type="gramEnd"/>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31" w:name="_heading=h.4i7ojhp" w:colFirst="0" w:colLast="0"/>
      <w:bookmarkEnd w:id="31"/>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2" w:name="_heading=h.2xcytpi" w:colFirst="0" w:colLast="0"/>
      <w:bookmarkStart w:id="33" w:name="_Ref69116349"/>
      <w:bookmarkEnd w:id="32"/>
      <w:r>
        <w:rPr>
          <w:rFonts w:ascii="Arial Bold" w:eastAsia="Arial Bold" w:hAnsi="Arial Bold" w:cs="Arial Bold"/>
          <w:b/>
          <w:color w:val="000000"/>
          <w:sz w:val="24"/>
          <w:szCs w:val="24"/>
        </w:rPr>
        <w:t>Invoking the BCDR Plan</w:t>
      </w:r>
      <w:bookmarkEnd w:id="33"/>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4"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4"/>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 xml:space="preserve">where there is an Insolvency Event of the </w:t>
      </w:r>
      <w:proofErr w:type="gramStart"/>
      <w:r w:rsidRPr="007578DD">
        <w:rPr>
          <w:color w:val="000000"/>
          <w:sz w:val="24"/>
          <w:szCs w:val="24"/>
        </w:rPr>
        <w:t>Supplier</w:t>
      </w:r>
      <w:proofErr w:type="gramEnd"/>
      <w:r w:rsidRPr="007578DD">
        <w:rPr>
          <w:color w:val="000000"/>
          <w:sz w:val="24"/>
          <w:szCs w:val="24"/>
        </w:rPr>
        <w:t xml:space="preserve">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w:t>
      </w:r>
      <w:proofErr w:type="gramStart"/>
      <w:r w:rsidR="0085360A">
        <w:rPr>
          <w:color w:val="000000"/>
          <w:sz w:val="24"/>
          <w:szCs w:val="24"/>
        </w:rPr>
        <w:t>inclusive;</w:t>
      </w:r>
      <w:proofErr w:type="gramEnd"/>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xml:space="preserve">, </w:t>
      </w:r>
      <w:proofErr w:type="gramStart"/>
      <w:r>
        <w:rPr>
          <w:color w:val="000000"/>
          <w:sz w:val="24"/>
          <w:szCs w:val="24"/>
        </w:rPr>
        <w:t>inclusive;</w:t>
      </w:r>
      <w:proofErr w:type="gramEnd"/>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w:t>
      </w:r>
      <w:proofErr w:type="gramStart"/>
      <w:r>
        <w:rPr>
          <w:color w:val="000000"/>
          <w:sz w:val="24"/>
          <w:szCs w:val="24"/>
        </w:rPr>
        <w:t>A</w:t>
      </w:r>
      <w:r w:rsidR="0085360A">
        <w:rPr>
          <w:color w:val="000000"/>
          <w:sz w:val="24"/>
          <w:szCs w:val="24"/>
        </w:rPr>
        <w:t>;</w:t>
      </w:r>
      <w:proofErr w:type="gramEnd"/>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Annual </w:t>
      </w:r>
      <w:proofErr w:type="gramStart"/>
      <w:r>
        <w:rPr>
          <w:color w:val="000000"/>
          <w:sz w:val="24"/>
          <w:szCs w:val="24"/>
        </w:rPr>
        <w:t>Review;</w:t>
      </w:r>
      <w:proofErr w:type="gramEnd"/>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Appropriate Authority or Appropriate </w:t>
      </w:r>
      <w:proofErr w:type="gramStart"/>
      <w:r>
        <w:rPr>
          <w:color w:val="000000"/>
          <w:sz w:val="24"/>
          <w:szCs w:val="24"/>
        </w:rPr>
        <w:t>Authorities;</w:t>
      </w:r>
      <w:proofErr w:type="gramEnd"/>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proofErr w:type="gramStart"/>
      <w:r>
        <w:rPr>
          <w:color w:val="000000"/>
          <w:sz w:val="24"/>
          <w:szCs w:val="24"/>
        </w:rPr>
        <w:t>Associates;</w:t>
      </w:r>
      <w:proofErr w:type="gramEnd"/>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Class 1 </w:t>
      </w:r>
      <w:proofErr w:type="gramStart"/>
      <w:r>
        <w:rPr>
          <w:color w:val="000000"/>
          <w:sz w:val="24"/>
          <w:szCs w:val="24"/>
        </w:rPr>
        <w:t>Transaction;</w:t>
      </w:r>
      <w:proofErr w:type="gramEnd"/>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proofErr w:type="gramStart"/>
      <w:r>
        <w:rPr>
          <w:color w:val="000000"/>
          <w:sz w:val="24"/>
          <w:szCs w:val="24"/>
        </w:rPr>
        <w:t>Control;</w:t>
      </w:r>
      <w:proofErr w:type="gramEnd"/>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Corporate Change </w:t>
      </w:r>
      <w:proofErr w:type="gramStart"/>
      <w:r>
        <w:rPr>
          <w:color w:val="000000"/>
          <w:sz w:val="24"/>
          <w:szCs w:val="24"/>
        </w:rPr>
        <w:t>Event</w:t>
      </w:r>
      <w:r w:rsidR="00063994">
        <w:rPr>
          <w:color w:val="000000"/>
          <w:sz w:val="24"/>
          <w:szCs w:val="24"/>
        </w:rPr>
        <w:t>;</w:t>
      </w:r>
      <w:proofErr w:type="gramEnd"/>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Critical National </w:t>
      </w:r>
      <w:proofErr w:type="gramStart"/>
      <w:r>
        <w:rPr>
          <w:color w:val="000000"/>
          <w:sz w:val="24"/>
          <w:szCs w:val="24"/>
        </w:rPr>
        <w:t>Infrastructure</w:t>
      </w:r>
      <w:r w:rsidR="00063994">
        <w:rPr>
          <w:color w:val="000000"/>
          <w:sz w:val="24"/>
          <w:szCs w:val="24"/>
        </w:rPr>
        <w:t>;</w:t>
      </w:r>
      <w:proofErr w:type="gramEnd"/>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Critical Service </w:t>
      </w:r>
      <w:proofErr w:type="gramStart"/>
      <w:r>
        <w:rPr>
          <w:color w:val="000000"/>
          <w:sz w:val="24"/>
          <w:szCs w:val="24"/>
        </w:rPr>
        <w:t>Contract</w:t>
      </w:r>
      <w:r w:rsidR="00063994">
        <w:rPr>
          <w:color w:val="000000"/>
          <w:sz w:val="24"/>
          <w:szCs w:val="24"/>
        </w:rPr>
        <w:t>;</w:t>
      </w:r>
      <w:proofErr w:type="gramEnd"/>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CRP </w:t>
      </w:r>
      <w:proofErr w:type="gramStart"/>
      <w:r>
        <w:rPr>
          <w:color w:val="000000"/>
          <w:sz w:val="24"/>
          <w:szCs w:val="24"/>
        </w:rPr>
        <w:t>Information</w:t>
      </w:r>
      <w:r w:rsidR="00063994">
        <w:rPr>
          <w:color w:val="000000"/>
          <w:sz w:val="24"/>
          <w:szCs w:val="24"/>
        </w:rPr>
        <w:t>;</w:t>
      </w:r>
      <w:proofErr w:type="gramEnd"/>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Dependent Parent </w:t>
      </w:r>
      <w:proofErr w:type="gramStart"/>
      <w:r>
        <w:rPr>
          <w:color w:val="000000"/>
          <w:sz w:val="24"/>
          <w:szCs w:val="24"/>
        </w:rPr>
        <w:t>Undertaking</w:t>
      </w:r>
      <w:r w:rsidR="00063994">
        <w:rPr>
          <w:color w:val="000000"/>
          <w:sz w:val="24"/>
          <w:szCs w:val="24"/>
        </w:rPr>
        <w:t>;</w:t>
      </w:r>
      <w:proofErr w:type="gramEnd"/>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w:t>
      </w:r>
      <w:proofErr w:type="gramStart"/>
      <w:r>
        <w:rPr>
          <w:color w:val="000000"/>
          <w:sz w:val="24"/>
          <w:szCs w:val="24"/>
        </w:rPr>
        <w:t>Commentary;</w:t>
      </w:r>
      <w:proofErr w:type="gramEnd"/>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Parent </w:t>
      </w:r>
      <w:proofErr w:type="gramStart"/>
      <w:r>
        <w:rPr>
          <w:color w:val="000000"/>
          <w:sz w:val="24"/>
          <w:szCs w:val="24"/>
        </w:rPr>
        <w:t>Undertaking</w:t>
      </w:r>
      <w:r w:rsidR="00063994">
        <w:rPr>
          <w:color w:val="000000"/>
          <w:sz w:val="24"/>
          <w:szCs w:val="24"/>
        </w:rPr>
        <w:t>;</w:t>
      </w:r>
      <w:proofErr w:type="gramEnd"/>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Public Sector Dependent </w:t>
      </w:r>
      <w:proofErr w:type="gramStart"/>
      <w:r>
        <w:rPr>
          <w:color w:val="000000"/>
          <w:sz w:val="24"/>
          <w:szCs w:val="24"/>
        </w:rPr>
        <w:t>Supplier</w:t>
      </w:r>
      <w:r w:rsidR="00063994">
        <w:rPr>
          <w:color w:val="000000"/>
          <w:sz w:val="24"/>
          <w:szCs w:val="24"/>
        </w:rPr>
        <w:t>;</w:t>
      </w:r>
      <w:proofErr w:type="gramEnd"/>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Subsidiary </w:t>
      </w:r>
      <w:proofErr w:type="gramStart"/>
      <w:r>
        <w:rPr>
          <w:color w:val="000000"/>
          <w:sz w:val="24"/>
          <w:szCs w:val="24"/>
        </w:rPr>
        <w:t>Undertaking</w:t>
      </w:r>
      <w:r w:rsidR="00063994">
        <w:rPr>
          <w:color w:val="000000"/>
          <w:sz w:val="24"/>
          <w:szCs w:val="24"/>
        </w:rPr>
        <w:t>;</w:t>
      </w:r>
      <w:proofErr w:type="gramEnd"/>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Supplier </w:t>
      </w:r>
      <w:proofErr w:type="gramStart"/>
      <w:r>
        <w:rPr>
          <w:color w:val="000000"/>
          <w:sz w:val="24"/>
          <w:szCs w:val="24"/>
        </w:rPr>
        <w:t>Group</w:t>
      </w:r>
      <w:r w:rsidR="00063994">
        <w:rPr>
          <w:color w:val="000000"/>
          <w:sz w:val="24"/>
          <w:szCs w:val="24"/>
        </w:rPr>
        <w:t>;</w:t>
      </w:r>
      <w:proofErr w:type="gramEnd"/>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3A4060BE"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sidR="009F3229">
        <w:rPr>
          <w:rFonts w:eastAsia="Arial"/>
          <w:color w:val="000000"/>
          <w:sz w:val="24"/>
          <w:szCs w:val="24"/>
        </w:rPr>
        <w:t>is</w:t>
      </w:r>
      <w:r>
        <w:rPr>
          <w:rFonts w:eastAsia="Arial"/>
          <w:color w:val="000000"/>
          <w:sz w:val="24"/>
          <w:szCs w:val="24"/>
        </w:rPr>
        <w:t xml:space="preserve">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notify the Buyer in writing within 5 Working Days of the Effective Date and throughout the Call-Off Contract Period within 120 days after each Accounting Reference Date as to </w:t>
      </w:r>
      <w:proofErr w:type="gramStart"/>
      <w:r>
        <w:rPr>
          <w:rFonts w:eastAsia="Arial"/>
          <w:color w:val="000000"/>
          <w:sz w:val="24"/>
          <w:szCs w:val="24"/>
        </w:rPr>
        <w:t>whether or not</w:t>
      </w:r>
      <w:proofErr w:type="gramEnd"/>
      <w:r>
        <w:rPr>
          <w:rFonts w:eastAsia="Arial"/>
          <w:color w:val="000000"/>
          <w:sz w:val="24"/>
          <w:szCs w:val="24"/>
        </w:rPr>
        <w:t xml:space="preserve">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is full, comprehensive, accurate and up to </w:t>
      </w:r>
      <w:proofErr w:type="gramStart"/>
      <w:r>
        <w:rPr>
          <w:sz w:val="24"/>
          <w:szCs w:val="24"/>
        </w:rPr>
        <w:t>date;</w:t>
      </w:r>
      <w:proofErr w:type="gramEnd"/>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Group Structure Information and Resolution </w:t>
      </w:r>
      <w:proofErr w:type="gramStart"/>
      <w:r>
        <w:rPr>
          <w:rFonts w:eastAsia="Arial"/>
          <w:color w:val="000000"/>
          <w:sz w:val="24"/>
          <w:szCs w:val="24"/>
        </w:rPr>
        <w:t>Commentary;</w:t>
      </w:r>
      <w:proofErr w:type="gramEnd"/>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roofErr w:type="gramStart"/>
      <w:r>
        <w:rPr>
          <w:rFonts w:eastAsia="Arial"/>
          <w:color w:val="000000"/>
          <w:sz w:val="24"/>
          <w:szCs w:val="24"/>
        </w:rPr>
        <w:t>);</w:t>
      </w:r>
      <w:proofErr w:type="gramEnd"/>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 xml:space="preserve">Appropriate </w:t>
      </w:r>
      <w:r w:rsidR="00063994">
        <w:rPr>
          <w:sz w:val="24"/>
          <w:szCs w:val="24"/>
        </w:rPr>
        <w:lastRenderedPageBreak/>
        <w:t>Authority</w:t>
      </w:r>
      <w:r>
        <w:rPr>
          <w:sz w:val="24"/>
          <w:szCs w:val="24"/>
        </w:rPr>
        <w:t xml:space="preserve"> or </w:t>
      </w:r>
      <w:r w:rsidR="00063994">
        <w:rPr>
          <w:sz w:val="24"/>
          <w:szCs w:val="24"/>
        </w:rPr>
        <w:t>Appropriate Authorities</w:t>
      </w:r>
      <w:r>
        <w:rPr>
          <w:sz w:val="24"/>
          <w:szCs w:val="24"/>
        </w:rPr>
        <w:t xml:space="preserve"> to understand and consider the information for </w:t>
      </w:r>
      <w:proofErr w:type="gramStart"/>
      <w:r>
        <w:rPr>
          <w:sz w:val="24"/>
          <w:szCs w:val="24"/>
        </w:rPr>
        <w:t>approval;</w:t>
      </w:r>
      <w:proofErr w:type="gramEnd"/>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w:t>
      </w:r>
      <w:r>
        <w:rPr>
          <w:rFonts w:eastAsia="Arial"/>
          <w:color w:val="000000"/>
          <w:sz w:val="24"/>
          <w:szCs w:val="24"/>
        </w:rPr>
        <w:lastRenderedPageBreak/>
        <w:t>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roofErr w:type="gramStart"/>
      <w:r>
        <w:rPr>
          <w:sz w:val="24"/>
          <w:szCs w:val="24"/>
        </w:rPr>
        <w:t>);</w:t>
      </w:r>
      <w:proofErr w:type="gramEnd"/>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proofErr w:type="gramStart"/>
      <w:r w:rsidR="005906E1">
        <w:rPr>
          <w:sz w:val="24"/>
          <w:szCs w:val="24"/>
        </w:rPr>
        <w:t>2</w:t>
      </w:r>
      <w:r>
        <w:rPr>
          <w:sz w:val="24"/>
          <w:szCs w:val="24"/>
        </w:rPr>
        <w:t>.10;</w:t>
      </w:r>
      <w:proofErr w:type="gramEnd"/>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unless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Aa3 or better from </w:t>
      </w:r>
      <w:proofErr w:type="gramStart"/>
      <w:r>
        <w:rPr>
          <w:sz w:val="24"/>
          <w:szCs w:val="24"/>
        </w:rPr>
        <w:t>Moody’s;</w:t>
      </w:r>
      <w:proofErr w:type="gramEnd"/>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proofErr w:type="gramStart"/>
      <w:r>
        <w:rPr>
          <w:sz w:val="24"/>
          <w:szCs w:val="24"/>
        </w:rPr>
        <w:t>Poors</w:t>
      </w:r>
      <w:proofErr w:type="spellEnd"/>
      <w:r>
        <w:rPr>
          <w:sz w:val="24"/>
          <w:szCs w:val="24"/>
        </w:rPr>
        <w:t>;</w:t>
      </w:r>
      <w:proofErr w:type="gramEnd"/>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w:t>
      </w:r>
      <w:proofErr w:type="gramStart"/>
      <w:r>
        <w:rPr>
          <w:sz w:val="24"/>
          <w:szCs w:val="24"/>
        </w:rPr>
        <w:t>Fitch;</w:t>
      </w:r>
      <w:proofErr w:type="gramEnd"/>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C779BC"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243164">
      <w:pPr>
        <w:pBdr>
          <w:top w:val="nil"/>
          <w:left w:val="nil"/>
          <w:bottom w:val="nil"/>
          <w:right w:val="nil"/>
          <w:between w:val="nil"/>
        </w:pBdr>
        <w:spacing w:before="120" w:after="120"/>
        <w:ind w:left="720"/>
        <w:jc w:val="left"/>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lastRenderedPageBreak/>
        <w:t>Confidentiality and usage of CRP Information</w:t>
      </w:r>
    </w:p>
    <w:p w14:paraId="4CE12918" w14:textId="77777777" w:rsidR="0097484D" w:rsidRDefault="0097484D" w:rsidP="00F0637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bookmarkStart w:id="35" w:name="_heading=h.23ckvvd" w:colFirst="0" w:colLast="0"/>
      <w:bookmarkEnd w:id="35"/>
      <w:r>
        <w:rPr>
          <w:rFonts w:eastAsia="Arial"/>
          <w:color w:val="000000"/>
          <w:sz w:val="24"/>
          <w:szCs w:val="24"/>
        </w:rPr>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 xml:space="preserve">.3 of this Part B, the Supplier shall use all reasonable endeavours to </w:t>
      </w:r>
      <w:proofErr w:type="gramStart"/>
      <w:r>
        <w:rPr>
          <w:rFonts w:eastAsia="Arial"/>
          <w:color w:val="000000"/>
          <w:sz w:val="24"/>
          <w:szCs w:val="24"/>
        </w:rPr>
        <w:t>disclose the CRP Information to the fullest extent</w:t>
      </w:r>
      <w:proofErr w:type="gramEnd"/>
      <w:r>
        <w:rPr>
          <w:rFonts w:eastAsia="Arial"/>
          <w:color w:val="000000"/>
          <w:sz w:val="24"/>
          <w:szCs w:val="24"/>
        </w:rPr>
        <w:t xml:space="preserve"> possible by limiting the amount of information it withholds including by:</w:t>
      </w:r>
    </w:p>
    <w:p w14:paraId="3CD2A6C7"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redacting only those parts of the information which are subject to such obligations of </w:t>
      </w:r>
      <w:proofErr w:type="gramStart"/>
      <w:r>
        <w:rPr>
          <w:sz w:val="24"/>
          <w:szCs w:val="24"/>
        </w:rPr>
        <w:t>confidentiality;</w:t>
      </w:r>
      <w:proofErr w:type="gramEnd"/>
    </w:p>
    <w:p w14:paraId="7854E766"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 xml:space="preserve">summarising the </w:t>
      </w:r>
      <w:proofErr w:type="gramStart"/>
      <w:r>
        <w:rPr>
          <w:rFonts w:eastAsia="Arial"/>
          <w:color w:val="000000"/>
          <w:sz w:val="24"/>
          <w:szCs w:val="24"/>
        </w:rPr>
        <w:t>information;</w:t>
      </w:r>
      <w:proofErr w:type="gramEnd"/>
    </w:p>
    <w:p w14:paraId="25D2A2E8"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 xml:space="preserve">grouping the </w:t>
      </w:r>
      <w:proofErr w:type="gramStart"/>
      <w:r>
        <w:rPr>
          <w:rFonts w:eastAsia="Arial"/>
          <w:color w:val="000000"/>
          <w:sz w:val="24"/>
          <w:szCs w:val="24"/>
        </w:rPr>
        <w:t>information;</w:t>
      </w:r>
      <w:proofErr w:type="gramEnd"/>
    </w:p>
    <w:p w14:paraId="1CC05BA6"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F06379">
      <w:pPr>
        <w:ind w:left="0"/>
        <w:jc w:val="left"/>
        <w:rPr>
          <w:b/>
          <w:sz w:val="32"/>
          <w:szCs w:val="32"/>
        </w:rPr>
      </w:pPr>
      <w:r>
        <w:rPr>
          <w:b/>
          <w:sz w:val="32"/>
          <w:szCs w:val="32"/>
        </w:rPr>
        <w:lastRenderedPageBreak/>
        <w:t>Appendix 1: Group structure information and resolution commentary</w:t>
      </w:r>
    </w:p>
    <w:p w14:paraId="4585B894" w14:textId="77777777" w:rsidR="0097484D" w:rsidRDefault="0097484D" w:rsidP="00F06379">
      <w:pPr>
        <w:numPr>
          <w:ilvl w:val="0"/>
          <w:numId w:val="3"/>
        </w:numPr>
        <w:pBdr>
          <w:top w:val="nil"/>
          <w:left w:val="nil"/>
          <w:bottom w:val="nil"/>
          <w:right w:val="nil"/>
          <w:between w:val="nil"/>
        </w:pBdr>
        <w:jc w:val="left"/>
        <w:rPr>
          <w:rFonts w:eastAsia="Arial"/>
          <w:color w:val="000000"/>
          <w:sz w:val="24"/>
          <w:szCs w:val="24"/>
        </w:rPr>
      </w:pPr>
      <w:r>
        <w:rPr>
          <w:rFonts w:eastAsia="Arial"/>
          <w:color w:val="000000"/>
          <w:sz w:val="24"/>
          <w:szCs w:val="24"/>
        </w:rPr>
        <w:t>The Supplier shall:</w:t>
      </w:r>
    </w:p>
    <w:p w14:paraId="3606EA2C" w14:textId="4263C93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w:t>
      </w:r>
      <w:proofErr w:type="gramStart"/>
      <w:r>
        <w:rPr>
          <w:rFonts w:eastAsia="Arial"/>
          <w:color w:val="000000"/>
          <w:sz w:val="24"/>
          <w:szCs w:val="24"/>
        </w:rPr>
        <w:t>Event;</w:t>
      </w:r>
      <w:proofErr w:type="gramEnd"/>
    </w:p>
    <w:p w14:paraId="42525CBF" w14:textId="7777777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ensure that the information is presented </w:t>
      </w:r>
      <w:proofErr w:type="gramStart"/>
      <w:r>
        <w:rPr>
          <w:rFonts w:eastAsia="Arial"/>
          <w:color w:val="000000"/>
          <w:sz w:val="24"/>
          <w:szCs w:val="24"/>
        </w:rPr>
        <w:t>so as to</w:t>
      </w:r>
      <w:proofErr w:type="gramEnd"/>
      <w:r>
        <w:rPr>
          <w:rFonts w:eastAsia="Arial"/>
          <w:color w:val="000000"/>
          <w:sz w:val="24"/>
          <w:szCs w:val="24"/>
        </w:rPr>
        <w:t xml:space="preserve"> provide a simple, effective and easily understood overview of the Supplier Group; and</w:t>
      </w:r>
    </w:p>
    <w:p w14:paraId="6CBCDF27" w14:textId="14757C7C"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provide full details of the importance of each member of the Supplier Group to the Supplier Group’s UK Public Sector Business and CNI contracts listed pursuant </w:t>
      </w:r>
      <w:proofErr w:type="spellStart"/>
      <w:r>
        <w:rPr>
          <w:rFonts w:eastAsia="Arial"/>
          <w:color w:val="000000"/>
          <w:sz w:val="24"/>
          <w:szCs w:val="24"/>
        </w:rPr>
        <w:t>t</w:t>
      </w:r>
      <w:r w:rsidR="00EF3B98">
        <w:rPr>
          <w:rFonts w:eastAsia="Arial"/>
          <w:color w:val="000000"/>
          <w:sz w:val="24"/>
          <w:szCs w:val="24"/>
        </w:rPr>
        <w:t>m</w:t>
      </w:r>
      <w:r>
        <w:rPr>
          <w:rFonts w:eastAsia="Arial"/>
          <w:color w:val="000000"/>
          <w:sz w:val="24"/>
          <w:szCs w:val="24"/>
        </w:rPr>
        <w:t>o</w:t>
      </w:r>
      <w:proofErr w:type="spellEnd"/>
      <w:r>
        <w:rPr>
          <w:rFonts w:eastAsia="Arial"/>
          <w:color w:val="000000"/>
          <w:sz w:val="24"/>
          <w:szCs w:val="24"/>
        </w:rPr>
        <w:t xml:space="preserve">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are with any UK public sector bodies </w:t>
      </w:r>
      <w:proofErr w:type="gramStart"/>
      <w:r>
        <w:rPr>
          <w:rFonts w:eastAsia="Arial"/>
          <w:color w:val="000000"/>
          <w:sz w:val="24"/>
          <w:szCs w:val="24"/>
        </w:rPr>
        <w:t>including:</w:t>
      </w:r>
      <w:proofErr w:type="gramEnd"/>
      <w:r>
        <w:rPr>
          <w:rFonts w:eastAsia="Arial"/>
          <w:color w:val="000000"/>
          <w:sz w:val="24"/>
          <w:szCs w:val="24"/>
        </w:rPr>
        <w:t xml:space="preserve">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involve or could reasonably be considered to involve </w:t>
      </w:r>
      <w:proofErr w:type="gramStart"/>
      <w:r>
        <w:rPr>
          <w:rFonts w:eastAsia="Arial"/>
          <w:color w:val="000000"/>
          <w:sz w:val="24"/>
          <w:szCs w:val="24"/>
        </w:rPr>
        <w:t>CNI;</w:t>
      </w:r>
      <w:proofErr w:type="gramEnd"/>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C779BC"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t xml:space="preserve">     </w:t>
          </w:r>
        </w:sdtContent>
      </w:sdt>
    </w:p>
    <w:sectPr w:rsidR="00F810E0" w:rsidRPr="0068129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61BE" w14:textId="77777777" w:rsidR="009B60CF" w:rsidRDefault="009B60CF">
      <w:pPr>
        <w:spacing w:after="0"/>
      </w:pPr>
      <w:r>
        <w:separator/>
      </w:r>
    </w:p>
  </w:endnote>
  <w:endnote w:type="continuationSeparator" w:id="0">
    <w:p w14:paraId="6F63838B" w14:textId="77777777" w:rsidR="009B60CF" w:rsidRDefault="009B60CF">
      <w:pPr>
        <w:spacing w:after="0"/>
      </w:pPr>
      <w:r>
        <w:continuationSeparator/>
      </w:r>
    </w:p>
  </w:endnote>
  <w:endnote w:type="continuationNotice" w:id="1">
    <w:p w14:paraId="261E7FA3" w14:textId="77777777" w:rsidR="009B60CF" w:rsidRDefault="009B6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4AD2" w14:textId="77777777" w:rsidR="006B6CB5" w:rsidRDefault="006B6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4D01" w14:textId="77777777" w:rsidR="00722D00" w:rsidRDefault="00722D00" w:rsidP="00722D00">
    <w:pPr>
      <w:tabs>
        <w:tab w:val="center" w:pos="4513"/>
        <w:tab w:val="right" w:pos="9026"/>
      </w:tabs>
      <w:spacing w:after="0"/>
      <w:ind w:left="0"/>
      <w:jc w:val="left"/>
      <w:rPr>
        <w:sz w:val="20"/>
        <w:szCs w:val="20"/>
      </w:rPr>
    </w:pPr>
    <w:r>
      <w:rPr>
        <w:b/>
        <w:sz w:val="20"/>
        <w:szCs w:val="20"/>
      </w:rPr>
      <w:t>Call-Off Schedule 8 (Business Continuity and Disaster Recovery)</w:t>
    </w:r>
  </w:p>
  <w:p w14:paraId="5DCD1560" w14:textId="77777777" w:rsidR="00722D00" w:rsidRDefault="00722D00" w:rsidP="00722D00">
    <w:pPr>
      <w:tabs>
        <w:tab w:val="center" w:pos="4513"/>
        <w:tab w:val="right" w:pos="9026"/>
      </w:tabs>
      <w:spacing w:after="0"/>
      <w:ind w:left="0"/>
      <w:jc w:val="left"/>
      <w:rPr>
        <w:sz w:val="20"/>
        <w:szCs w:val="20"/>
      </w:rPr>
    </w:pPr>
    <w:r>
      <w:rPr>
        <w:sz w:val="20"/>
        <w:szCs w:val="20"/>
      </w:rPr>
      <w:t xml:space="preserve">Call-Off Ref: </w:t>
    </w:r>
    <w:r w:rsidRPr="006B6CB5">
      <w:rPr>
        <w:sz w:val="20"/>
        <w:szCs w:val="20"/>
      </w:rPr>
      <w:t>CCSE22A05</w:t>
    </w:r>
  </w:p>
  <w:p w14:paraId="1FB9E103" w14:textId="77777777" w:rsidR="00722D00" w:rsidRDefault="00722D00" w:rsidP="00722D00">
    <w:pPr>
      <w:tabs>
        <w:tab w:val="center" w:pos="4513"/>
        <w:tab w:val="right" w:pos="9026"/>
      </w:tabs>
      <w:spacing w:after="0"/>
      <w:ind w:left="0"/>
      <w:jc w:val="left"/>
      <w:rPr>
        <w:sz w:val="20"/>
        <w:szCs w:val="20"/>
      </w:rPr>
    </w:pPr>
    <w:r>
      <w:rPr>
        <w:sz w:val="20"/>
        <w:szCs w:val="20"/>
      </w:rPr>
      <w:t>Crown Copyright 2018</w:t>
    </w:r>
  </w:p>
  <w:p w14:paraId="38FA0176" w14:textId="77777777" w:rsidR="00722D00" w:rsidRDefault="00722D00" w:rsidP="00722D00">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RM6257</w:t>
    </w:r>
  </w:p>
  <w:p w14:paraId="71B4B5D1" w14:textId="6A16EFBF" w:rsidR="00722D00" w:rsidRDefault="00722D00" w:rsidP="00722D00">
    <w:pPr>
      <w:pStyle w:val="Footer"/>
      <w:ind w:left="0"/>
    </w:pPr>
    <w:r>
      <w:rPr>
        <w:color w:val="000000"/>
        <w:sz w:val="20"/>
        <w:szCs w:val="20"/>
      </w:rPr>
      <w:t>Project Version: v0.1</w:t>
    </w:r>
  </w:p>
  <w:p w14:paraId="4CEDABB7" w14:textId="1B46443E" w:rsidR="00722D00" w:rsidRDefault="00C779BC" w:rsidP="00722D00">
    <w:pPr>
      <w:pStyle w:val="Footer"/>
      <w:ind w:left="0"/>
      <w:jc w:val="right"/>
    </w:pPr>
    <w:sdt>
      <w:sdtPr>
        <w:id w:val="957992973"/>
        <w:docPartObj>
          <w:docPartGallery w:val="Page Numbers (Bottom of Page)"/>
          <w:docPartUnique/>
        </w:docPartObj>
      </w:sdtPr>
      <w:sdtEndPr/>
      <w:sdtContent>
        <w:sdt>
          <w:sdtPr>
            <w:id w:val="-1769616900"/>
            <w:docPartObj>
              <w:docPartGallery w:val="Page Numbers (Top of Page)"/>
              <w:docPartUnique/>
            </w:docPartObj>
          </w:sdtPr>
          <w:sdtEndPr/>
          <w:sdtContent>
            <w:r w:rsidR="00722D00">
              <w:t xml:space="preserve">Page </w:t>
            </w:r>
            <w:r w:rsidR="00722D00">
              <w:rPr>
                <w:b/>
                <w:bCs/>
                <w:sz w:val="24"/>
                <w:szCs w:val="24"/>
              </w:rPr>
              <w:fldChar w:fldCharType="begin"/>
            </w:r>
            <w:r w:rsidR="00722D00">
              <w:rPr>
                <w:b/>
                <w:bCs/>
              </w:rPr>
              <w:instrText xml:space="preserve"> PAGE </w:instrText>
            </w:r>
            <w:r w:rsidR="00722D00">
              <w:rPr>
                <w:b/>
                <w:bCs/>
                <w:sz w:val="24"/>
                <w:szCs w:val="24"/>
              </w:rPr>
              <w:fldChar w:fldCharType="separate"/>
            </w:r>
            <w:r w:rsidR="00722D00">
              <w:rPr>
                <w:b/>
                <w:bCs/>
                <w:noProof/>
              </w:rPr>
              <w:t>2</w:t>
            </w:r>
            <w:r w:rsidR="00722D00">
              <w:rPr>
                <w:b/>
                <w:bCs/>
                <w:sz w:val="24"/>
                <w:szCs w:val="24"/>
              </w:rPr>
              <w:fldChar w:fldCharType="end"/>
            </w:r>
            <w:r w:rsidR="00722D00">
              <w:t xml:space="preserve"> of </w:t>
            </w:r>
            <w:r w:rsidR="00722D00">
              <w:rPr>
                <w:b/>
                <w:bCs/>
                <w:sz w:val="24"/>
                <w:szCs w:val="24"/>
              </w:rPr>
              <w:fldChar w:fldCharType="begin"/>
            </w:r>
            <w:r w:rsidR="00722D00">
              <w:rPr>
                <w:b/>
                <w:bCs/>
              </w:rPr>
              <w:instrText xml:space="preserve"> NUMPAGES  </w:instrText>
            </w:r>
            <w:r w:rsidR="00722D00">
              <w:rPr>
                <w:b/>
                <w:bCs/>
                <w:sz w:val="24"/>
                <w:szCs w:val="24"/>
              </w:rPr>
              <w:fldChar w:fldCharType="separate"/>
            </w:r>
            <w:r w:rsidR="00722D00">
              <w:rPr>
                <w:b/>
                <w:bCs/>
                <w:noProof/>
              </w:rPr>
              <w:t>2</w:t>
            </w:r>
            <w:r w:rsidR="00722D00">
              <w:rPr>
                <w:b/>
                <w:bCs/>
                <w:sz w:val="24"/>
                <w:szCs w:val="24"/>
              </w:rPr>
              <w:fldChar w:fldCharType="end"/>
            </w:r>
          </w:sdtContent>
        </w:sdt>
      </w:sdtContent>
    </w:sdt>
  </w:p>
  <w:p w14:paraId="00000108" w14:textId="5E891B6A" w:rsidR="004E7615" w:rsidRPr="00722D00" w:rsidRDefault="004E7615" w:rsidP="00722D00">
    <w:pPr>
      <w:pBdr>
        <w:top w:val="nil"/>
        <w:left w:val="nil"/>
        <w:bottom w:val="nil"/>
        <w:right w:val="nil"/>
        <w:between w:val="nil"/>
      </w:pBdr>
      <w:tabs>
        <w:tab w:val="center" w:pos="4513"/>
        <w:tab w:val="right" w:pos="9026"/>
      </w:tabs>
      <w:spacing w:after="0"/>
      <w:ind w:left="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BDCA" w14:textId="77777777" w:rsidR="009B60CF" w:rsidRDefault="009B60CF">
      <w:pPr>
        <w:spacing w:after="0"/>
      </w:pPr>
      <w:r>
        <w:separator/>
      </w:r>
    </w:p>
  </w:footnote>
  <w:footnote w:type="continuationSeparator" w:id="0">
    <w:p w14:paraId="263730FB" w14:textId="77777777" w:rsidR="009B60CF" w:rsidRDefault="009B60CF">
      <w:pPr>
        <w:spacing w:after="0"/>
      </w:pPr>
      <w:r>
        <w:continuationSeparator/>
      </w:r>
    </w:p>
  </w:footnote>
  <w:footnote w:type="continuationNotice" w:id="1">
    <w:p w14:paraId="0919AB22" w14:textId="77777777" w:rsidR="009B60CF" w:rsidRDefault="009B6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63C1" w14:textId="77777777" w:rsidR="006B6CB5" w:rsidRDefault="006B6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4" w14:textId="62327B89" w:rsidR="004E7615" w:rsidRPr="006B6CB5" w:rsidRDefault="006B6CB5" w:rsidP="006B6CB5">
    <w:pPr>
      <w:tabs>
        <w:tab w:val="center" w:pos="4513"/>
        <w:tab w:val="right" w:pos="9026"/>
      </w:tabs>
      <w:spacing w:after="0"/>
      <w:ind w:left="0"/>
      <w:jc w:val="center"/>
      <w:rPr>
        <w:b/>
        <w:sz w:val="20"/>
        <w:szCs w:val="20"/>
      </w:rPr>
    </w:pPr>
    <w:r>
      <w:rPr>
        <w:b/>
        <w:sz w:val="20"/>
        <w:szCs w:val="2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01D7" w14:textId="77777777" w:rsidR="006B6CB5" w:rsidRDefault="006B6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539858210">
    <w:abstractNumId w:val="4"/>
  </w:num>
  <w:num w:numId="2" w16cid:durableId="1837528115">
    <w:abstractNumId w:val="5"/>
  </w:num>
  <w:num w:numId="3" w16cid:durableId="2111854789">
    <w:abstractNumId w:val="2"/>
  </w:num>
  <w:num w:numId="4" w16cid:durableId="1854757163">
    <w:abstractNumId w:val="0"/>
  </w:num>
  <w:num w:numId="5" w16cid:durableId="1521623505">
    <w:abstractNumId w:val="10"/>
  </w:num>
  <w:num w:numId="6" w16cid:durableId="1729454426">
    <w:abstractNumId w:val="9"/>
  </w:num>
  <w:num w:numId="7" w16cid:durableId="772238182">
    <w:abstractNumId w:val="7"/>
  </w:num>
  <w:num w:numId="8" w16cid:durableId="1371297750">
    <w:abstractNumId w:val="6"/>
  </w:num>
  <w:num w:numId="9" w16cid:durableId="10321523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5000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18709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9936960">
    <w:abstractNumId w:val="3"/>
  </w:num>
  <w:num w:numId="13" w16cid:durableId="672269784">
    <w:abstractNumId w:val="1"/>
  </w:num>
  <w:num w:numId="14" w16cid:durableId="17390859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57D6C"/>
    <w:rsid w:val="00063994"/>
    <w:rsid w:val="000F6A61"/>
    <w:rsid w:val="001102FE"/>
    <w:rsid w:val="001D7197"/>
    <w:rsid w:val="001F583B"/>
    <w:rsid w:val="00243164"/>
    <w:rsid w:val="00250F51"/>
    <w:rsid w:val="00271812"/>
    <w:rsid w:val="0029177F"/>
    <w:rsid w:val="002E2CB9"/>
    <w:rsid w:val="003173E3"/>
    <w:rsid w:val="0036477C"/>
    <w:rsid w:val="003E7212"/>
    <w:rsid w:val="003F2EAC"/>
    <w:rsid w:val="0042685C"/>
    <w:rsid w:val="004743E1"/>
    <w:rsid w:val="00490B5D"/>
    <w:rsid w:val="004A6B2C"/>
    <w:rsid w:val="004D233C"/>
    <w:rsid w:val="004E7615"/>
    <w:rsid w:val="0052154C"/>
    <w:rsid w:val="005378E1"/>
    <w:rsid w:val="00576F50"/>
    <w:rsid w:val="0058742B"/>
    <w:rsid w:val="005906E1"/>
    <w:rsid w:val="00612231"/>
    <w:rsid w:val="00616460"/>
    <w:rsid w:val="00634BA0"/>
    <w:rsid w:val="006611AD"/>
    <w:rsid w:val="00672A2E"/>
    <w:rsid w:val="00681293"/>
    <w:rsid w:val="00696ED2"/>
    <w:rsid w:val="006B6CB5"/>
    <w:rsid w:val="00722D00"/>
    <w:rsid w:val="007261A6"/>
    <w:rsid w:val="007578DD"/>
    <w:rsid w:val="00786F40"/>
    <w:rsid w:val="0083014E"/>
    <w:rsid w:val="00833222"/>
    <w:rsid w:val="0085360A"/>
    <w:rsid w:val="008665B2"/>
    <w:rsid w:val="00867708"/>
    <w:rsid w:val="00880A26"/>
    <w:rsid w:val="008D5A26"/>
    <w:rsid w:val="008E733F"/>
    <w:rsid w:val="008F07D5"/>
    <w:rsid w:val="009647DD"/>
    <w:rsid w:val="00972031"/>
    <w:rsid w:val="0097484D"/>
    <w:rsid w:val="00994831"/>
    <w:rsid w:val="009B60CF"/>
    <w:rsid w:val="009C4C79"/>
    <w:rsid w:val="009F3229"/>
    <w:rsid w:val="00A12864"/>
    <w:rsid w:val="00A203BD"/>
    <w:rsid w:val="00A34985"/>
    <w:rsid w:val="00B15219"/>
    <w:rsid w:val="00B97807"/>
    <w:rsid w:val="00BB4326"/>
    <w:rsid w:val="00BB5D3B"/>
    <w:rsid w:val="00CD1511"/>
    <w:rsid w:val="00D030C9"/>
    <w:rsid w:val="00D15E2A"/>
    <w:rsid w:val="00D73872"/>
    <w:rsid w:val="00DB40ED"/>
    <w:rsid w:val="00E71CD8"/>
    <w:rsid w:val="00EF3B98"/>
    <w:rsid w:val="00F06379"/>
    <w:rsid w:val="00F53410"/>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F9590C-1712-441A-922C-E7049611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5745</Words>
  <Characters>32748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Nicola Congreve</cp:lastModifiedBy>
  <cp:revision>2</cp:revision>
  <dcterms:created xsi:type="dcterms:W3CDTF">2023-07-19T07:50:00Z</dcterms:created>
  <dcterms:modified xsi:type="dcterms:W3CDTF">2023-07-19T07:50:00Z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